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E4" w:rsidRPr="00CB4456" w:rsidRDefault="00184FE4" w:rsidP="00184FE4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184FE4" w:rsidTr="0091360B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БАШ</w:t>
            </w:r>
            <w:r>
              <w:rPr>
                <w:rStyle w:val="a5"/>
                <w:rFonts w:ascii="Calibri" w:hAnsi="Calibri"/>
                <w:lang w:val="en-US"/>
              </w:rPr>
              <w:t>K</w:t>
            </w:r>
            <w:r>
              <w:rPr>
                <w:rStyle w:val="a5"/>
                <w:rFonts w:ascii="a_Timer(15%) Bashkir" w:hAnsi="a_Timer(15%) Bashkir"/>
                <w:sz w:val="20"/>
                <w:szCs w:val="20"/>
              </w:rPr>
              <w:t>О</w:t>
            </w:r>
            <w:r>
              <w:rPr>
                <w:rStyle w:val="a5"/>
                <w:rFonts w:ascii="a_Timer(15%) Bashkir" w:hAnsi="a_Timer(15%) Bashkir"/>
                <w:sz w:val="20"/>
              </w:rPr>
              <w:t>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ӘЛШӘЙ РАЙОНЫ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МУНИЦИПАЛЬ РАЙОНЫНЫҢ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МӘНДӘН АУЫЛ СОВЕТЫ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АУЫЛ БИЛӘМӘҺЕ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ХАКИМИӘТЕ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МӘНДӘН АУЫЛ  СОВЕТЫ)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 xml:space="preserve">Чишмә 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 xml:space="preserve">, 2, М әндән 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ауылы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>, Әлшәй районы,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Баш</w:t>
            </w:r>
            <w:proofErr w:type="gramStart"/>
            <w:r>
              <w:rPr>
                <w:rStyle w:val="a5"/>
                <w:rFonts w:ascii="Calibri" w:eastAsia="MS Mincho" w:hAnsi="Calibri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5"/>
                <w:rFonts w:ascii="a_Timer(15%) Bashkir" w:hAnsi="a_Timer(15%) Bashkir"/>
                <w:sz w:val="16"/>
              </w:rPr>
              <w:t>ортостан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 xml:space="preserve">  Республикаһы, 452103.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5"/>
                <w:rFonts w:ascii="a_Timer(15%) Bashkir" w:hAnsi="a_Timer(15%) Bashkir"/>
                <w:sz w:val="16"/>
              </w:rPr>
              <w:t>телефон/факс (34754 3-57-17</w:t>
            </w:r>
            <w:proofErr w:type="gramEnd"/>
          </w:p>
          <w:p w:rsidR="00184FE4" w:rsidRDefault="00184FE4" w:rsidP="009136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5"/>
                <w:rFonts w:ascii="a_Timer(15%) Bashkir" w:hAnsi="a_Timer(15%) Bashkir"/>
                <w:sz w:val="16"/>
              </w:rPr>
              <w:t>-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mendyanovo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184FE4" w:rsidRDefault="00246964" w:rsidP="0091360B">
            <w:pPr>
              <w:pStyle w:val="1"/>
              <w:jc w:val="center"/>
              <w:rPr>
                <w:rStyle w:val="a5"/>
                <w:b w:val="0"/>
                <w:bCs w:val="0"/>
                <w:lang w:val="en-US"/>
              </w:rPr>
            </w:pPr>
            <w:hyperlink r:id="rId4" w:history="1">
              <w:r w:rsidR="00184FE4">
                <w:rPr>
                  <w:rStyle w:val="a6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184FE4">
                <w:rPr>
                  <w:rStyle w:val="a6"/>
                  <w:sz w:val="16"/>
                  <w:szCs w:val="16"/>
                  <w:lang w:val="en-US"/>
                </w:rPr>
                <w:t>mendyan</w:t>
              </w:r>
              <w:proofErr w:type="spellEnd"/>
              <w:r w:rsidR="00184FE4">
                <w:rPr>
                  <w:rStyle w:val="a6"/>
                  <w:sz w:val="16"/>
                  <w:szCs w:val="16"/>
                  <w:lang w:val="be-BY"/>
                </w:rPr>
                <w:t>.</w:t>
              </w:r>
              <w:proofErr w:type="spellStart"/>
              <w:r w:rsidR="00184FE4">
                <w:rPr>
                  <w:rStyle w:val="a6"/>
                  <w:sz w:val="16"/>
                  <w:szCs w:val="16"/>
                  <w:lang w:val="en-US"/>
                </w:rPr>
                <w:t>xzpro</w:t>
              </w:r>
              <w:proofErr w:type="spellEnd"/>
              <w:r w:rsidR="00184FE4">
                <w:rPr>
                  <w:rStyle w:val="a6"/>
                  <w:sz w:val="16"/>
                  <w:szCs w:val="16"/>
                  <w:lang w:val="en-US"/>
                </w:rPr>
                <w:t>.</w:t>
              </w:r>
              <w:r w:rsidR="00184FE4">
                <w:rPr>
                  <w:rStyle w:val="a6"/>
                  <w:sz w:val="16"/>
                  <w:szCs w:val="16"/>
                  <w:lang w:val="be-BY"/>
                </w:rPr>
                <w:t>ru</w:t>
              </w:r>
            </w:hyperlink>
            <w:r w:rsidR="00184FE4"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184FE4" w:rsidRDefault="00184FE4" w:rsidP="0091360B">
            <w:pPr>
              <w:pStyle w:val="a3"/>
              <w:jc w:val="right"/>
              <w:rPr>
                <w:rStyle w:val="a5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АДМИНИСТРАЦИЯ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СЕЛЬСКОГО ПОСЕЛЕНИЯ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МЕНДЯНОВСКИЙ СЕЛЬСОВЕТ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АЛЬШЕЕВСКИЙ РАЙОН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5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(МЕНДЯНОВСКИЙ  СЕЛЬСОВЕТ АЛЬШЕЕВСКОГО  РАЙОНА  РЕСПУБЛИКИ  БАШКОРТОСТАН)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 xml:space="preserve">ул. 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</w:rPr>
              <w:t>Родниковая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</w:rPr>
              <w:t xml:space="preserve">, 2,   село  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Мендяново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 xml:space="preserve">, </w:t>
            </w:r>
            <w:proofErr w:type="spellStart"/>
            <w:r>
              <w:rPr>
                <w:rStyle w:val="a5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5"/>
                <w:rFonts w:ascii="a_Timer(15%) Bashkir" w:hAnsi="a_Timer(15%) Bashkir"/>
                <w:sz w:val="16"/>
              </w:rPr>
              <w:t xml:space="preserve"> район,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Республика Башкортостан, 452103.</w:t>
            </w:r>
          </w:p>
          <w:p w:rsidR="00184FE4" w:rsidRDefault="00184FE4" w:rsidP="0091360B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sz w:val="16"/>
              </w:rPr>
              <w:t>телефон/факс (34754) 3-57-17.</w:t>
            </w:r>
          </w:p>
          <w:p w:rsidR="00184FE4" w:rsidRDefault="00184FE4" w:rsidP="0091360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5"/>
                <w:rFonts w:ascii="a_Timer(15%) Bashkir" w:hAnsi="a_Timer(15%) Bashkir"/>
                <w:sz w:val="16"/>
              </w:rPr>
              <w:t>-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mendyanovo</w:t>
              </w:r>
              <w:r>
                <w:rPr>
                  <w:rStyle w:val="a6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6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184FE4" w:rsidRDefault="00246964" w:rsidP="0091360B">
            <w:pPr>
              <w:pStyle w:val="1"/>
              <w:jc w:val="center"/>
              <w:rPr>
                <w:rStyle w:val="a5"/>
                <w:b w:val="0"/>
                <w:bCs w:val="0"/>
                <w:lang w:val="en-US"/>
              </w:rPr>
            </w:pPr>
            <w:hyperlink r:id="rId7" w:history="1">
              <w:r w:rsidR="00184FE4">
                <w:rPr>
                  <w:rStyle w:val="a6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184FE4">
                <w:rPr>
                  <w:rStyle w:val="a6"/>
                  <w:sz w:val="16"/>
                  <w:szCs w:val="16"/>
                  <w:lang w:val="en-US"/>
                </w:rPr>
                <w:t>mendyan</w:t>
              </w:r>
              <w:proofErr w:type="spellEnd"/>
              <w:r w:rsidR="00184FE4">
                <w:rPr>
                  <w:rStyle w:val="a6"/>
                  <w:sz w:val="16"/>
                  <w:szCs w:val="16"/>
                  <w:lang w:val="be-BY"/>
                </w:rPr>
                <w:t>.</w:t>
              </w:r>
              <w:proofErr w:type="spellStart"/>
              <w:r w:rsidR="00184FE4">
                <w:rPr>
                  <w:rStyle w:val="a6"/>
                  <w:sz w:val="16"/>
                  <w:szCs w:val="16"/>
                  <w:lang w:val="en-US"/>
                </w:rPr>
                <w:t>xzpro</w:t>
              </w:r>
              <w:proofErr w:type="spellEnd"/>
              <w:r w:rsidR="00184FE4">
                <w:rPr>
                  <w:rStyle w:val="a6"/>
                  <w:sz w:val="16"/>
                  <w:szCs w:val="16"/>
                  <w:lang w:val="en-US"/>
                </w:rPr>
                <w:t>.</w:t>
              </w:r>
              <w:r w:rsidR="00184FE4">
                <w:rPr>
                  <w:rStyle w:val="a6"/>
                  <w:sz w:val="16"/>
                  <w:szCs w:val="16"/>
                  <w:lang w:val="be-BY"/>
                </w:rPr>
                <w:t>ru</w:t>
              </w:r>
            </w:hyperlink>
            <w:r w:rsidR="00184FE4">
              <w:rPr>
                <w:sz w:val="16"/>
                <w:szCs w:val="16"/>
                <w:lang w:val="be-BY"/>
              </w:rPr>
              <w:t>.</w:t>
            </w:r>
          </w:p>
        </w:tc>
      </w:tr>
      <w:tr w:rsidR="00184FE4" w:rsidTr="0091360B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184FE4" w:rsidRDefault="00184FE4" w:rsidP="0091360B">
            <w:pPr>
              <w:rPr>
                <w:rStyle w:val="a5"/>
                <w:sz w:val="20"/>
                <w:szCs w:val="20"/>
                <w:lang w:val="en-US"/>
              </w:rPr>
            </w:pPr>
          </w:p>
          <w:p w:rsidR="00184FE4" w:rsidRDefault="00184FE4" w:rsidP="0091360B">
            <w:pPr>
              <w:ind w:left="-122"/>
              <w:jc w:val="center"/>
              <w:rPr>
                <w:rStyle w:val="a5"/>
                <w:rFonts w:ascii="a_Timer(15%) Bashkir" w:hAnsi="a_Timer(15%) Bashkir"/>
                <w:sz w:val="20"/>
                <w:szCs w:val="20"/>
              </w:rPr>
            </w:pPr>
            <w:r>
              <w:rPr>
                <w:rStyle w:val="a5"/>
                <w:rFonts w:ascii="a_Timer(15%) Bashkir" w:hAnsi="a_Timer(15%) Bashkir"/>
                <w:sz w:val="20"/>
                <w:szCs w:val="20"/>
              </w:rPr>
              <w:t xml:space="preserve">ОКПО  </w:t>
            </w:r>
            <w:r>
              <w:rPr>
                <w:rStyle w:val="a5"/>
                <w:rFonts w:ascii="Calibri" w:hAnsi="Calibri"/>
                <w:sz w:val="20"/>
                <w:szCs w:val="20"/>
              </w:rPr>
              <w:t>04284780</w:t>
            </w:r>
            <w:r>
              <w:rPr>
                <w:rStyle w:val="a5"/>
                <w:rFonts w:ascii="a_Timer(15%) Bashkir" w:hAnsi="a_Timer(15%) Bashkir"/>
                <w:sz w:val="20"/>
                <w:szCs w:val="20"/>
              </w:rPr>
              <w:t xml:space="preserve">           ОГРН  </w:t>
            </w:r>
            <w:r>
              <w:rPr>
                <w:rStyle w:val="a5"/>
                <w:rFonts w:ascii="Calibri" w:hAnsi="Calibri"/>
                <w:sz w:val="20"/>
                <w:szCs w:val="20"/>
              </w:rPr>
              <w:t>1020201730361</w:t>
            </w:r>
            <w:r>
              <w:rPr>
                <w:rStyle w:val="a5"/>
                <w:rFonts w:ascii="a_Timer(15%) Bashkir" w:hAnsi="a_Timer(15%) Bashkir"/>
                <w:sz w:val="20"/>
                <w:szCs w:val="20"/>
              </w:rPr>
              <w:t xml:space="preserve">              ИНН  </w:t>
            </w:r>
            <w:r>
              <w:rPr>
                <w:rStyle w:val="a5"/>
                <w:rFonts w:ascii="Calibri" w:hAnsi="Calibri"/>
                <w:sz w:val="20"/>
                <w:szCs w:val="20"/>
              </w:rPr>
              <w:t>0202001166</w:t>
            </w:r>
            <w:r>
              <w:rPr>
                <w:rStyle w:val="a5"/>
                <w:rFonts w:ascii="a_Timer(15%) Bashkir" w:hAnsi="a_Timer(15%) Bashkir"/>
                <w:sz w:val="20"/>
                <w:szCs w:val="20"/>
              </w:rPr>
              <w:t xml:space="preserve">           КПП </w:t>
            </w:r>
            <w:r>
              <w:rPr>
                <w:rStyle w:val="a5"/>
                <w:rFonts w:ascii="Calibri" w:hAnsi="Calibri"/>
                <w:sz w:val="20"/>
                <w:szCs w:val="20"/>
              </w:rPr>
              <w:t>020201001</w:t>
            </w:r>
          </w:p>
          <w:p w:rsidR="00184FE4" w:rsidRDefault="00184FE4" w:rsidP="0091360B">
            <w:pPr>
              <w:ind w:left="-122"/>
              <w:jc w:val="center"/>
              <w:rPr>
                <w:rStyle w:val="a5"/>
                <w:rFonts w:ascii="a_Timer(15%) Bashkir" w:hAnsi="a_Timer(15%) Bashkir"/>
                <w:sz w:val="18"/>
              </w:rPr>
            </w:pPr>
          </w:p>
        </w:tc>
      </w:tr>
    </w:tbl>
    <w:p w:rsidR="00184FE4" w:rsidRDefault="00184FE4" w:rsidP="00184FE4">
      <w: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184FE4" w:rsidTr="0091360B">
        <w:tc>
          <w:tcPr>
            <w:tcW w:w="8080" w:type="dxa"/>
          </w:tcPr>
          <w:p w:rsidR="00184FE4" w:rsidRDefault="00184FE4" w:rsidP="0091360B">
            <w:pPr>
              <w:pStyle w:val="a7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                                                    ПОСТАНОВЛЕНИЕ</w:t>
            </w:r>
          </w:p>
          <w:p w:rsidR="00184FE4" w:rsidRDefault="00184FE4" w:rsidP="0091360B">
            <w:pPr>
              <w:pStyle w:val="a7"/>
              <w:ind w:left="181"/>
              <w:rPr>
                <w:sz w:val="28"/>
                <w:szCs w:val="28"/>
              </w:rPr>
            </w:pPr>
          </w:p>
          <w:p w:rsidR="00184FE4" w:rsidRDefault="00184FE4" w:rsidP="0091360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 </w:t>
            </w:r>
            <w:r>
              <w:rPr>
                <w:sz w:val="28"/>
                <w:szCs w:val="28"/>
                <w:lang w:val="ba-RU"/>
              </w:rPr>
              <w:t>май</w:t>
            </w:r>
            <w:r>
              <w:rPr>
                <w:sz w:val="28"/>
                <w:szCs w:val="28"/>
              </w:rPr>
              <w:t xml:space="preserve">  2017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               № 12/1                      10  мая 2017 г.</w:t>
            </w:r>
          </w:p>
          <w:p w:rsidR="00184FE4" w:rsidRDefault="00184FE4" w:rsidP="0091360B">
            <w:pPr>
              <w:pStyle w:val="a7"/>
              <w:jc w:val="left"/>
              <w:rPr>
                <w:sz w:val="28"/>
                <w:szCs w:val="28"/>
              </w:rPr>
            </w:pPr>
          </w:p>
          <w:p w:rsidR="00184FE4" w:rsidRDefault="00184FE4" w:rsidP="0091360B">
            <w:pPr>
              <w:pStyle w:val="a7"/>
              <w:jc w:val="left"/>
              <w:rPr>
                <w:sz w:val="28"/>
                <w:szCs w:val="28"/>
              </w:rPr>
            </w:pPr>
          </w:p>
          <w:p w:rsidR="00184FE4" w:rsidRDefault="00184FE4" w:rsidP="0091360B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184FE4" w:rsidRDefault="00184FE4" w:rsidP="009136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FE4" w:rsidRPr="00DD7B37" w:rsidRDefault="00184FE4" w:rsidP="00184FE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84FE4" w:rsidRPr="00DD7B37" w:rsidRDefault="00184FE4" w:rsidP="00184FE4">
      <w:pPr>
        <w:jc w:val="center"/>
        <w:rPr>
          <w:sz w:val="28"/>
          <w:szCs w:val="28"/>
        </w:rPr>
      </w:pPr>
    </w:p>
    <w:p w:rsidR="00184FE4" w:rsidRPr="00DD7B37" w:rsidRDefault="00184FE4" w:rsidP="00184FE4">
      <w:pPr>
        <w:jc w:val="center"/>
        <w:rPr>
          <w:b/>
          <w:sz w:val="28"/>
          <w:szCs w:val="28"/>
        </w:rPr>
      </w:pPr>
      <w:r w:rsidRPr="00DD7B37">
        <w:rPr>
          <w:b/>
          <w:sz w:val="28"/>
          <w:szCs w:val="28"/>
        </w:rPr>
        <w:t xml:space="preserve">О внесении изменений в Методику прогнозирования поступлений </w:t>
      </w:r>
    </w:p>
    <w:p w:rsidR="00184FE4" w:rsidRPr="00DD7B37" w:rsidRDefault="00184FE4" w:rsidP="00184FE4">
      <w:pPr>
        <w:jc w:val="center"/>
        <w:rPr>
          <w:b/>
          <w:sz w:val="28"/>
          <w:szCs w:val="28"/>
        </w:rPr>
      </w:pPr>
      <w:r w:rsidRPr="00DD7B37">
        <w:rPr>
          <w:b/>
          <w:sz w:val="28"/>
          <w:szCs w:val="28"/>
        </w:rPr>
        <w:t xml:space="preserve">по источникам финансирования дефицита бюджета сельского поселения </w:t>
      </w:r>
      <w:proofErr w:type="spellStart"/>
      <w:r>
        <w:rPr>
          <w:b/>
          <w:sz w:val="28"/>
          <w:szCs w:val="28"/>
        </w:rPr>
        <w:t>Мендяновский</w:t>
      </w:r>
      <w:proofErr w:type="spellEnd"/>
      <w:r w:rsidRPr="00DD7B37">
        <w:rPr>
          <w:b/>
          <w:sz w:val="28"/>
          <w:szCs w:val="28"/>
        </w:rPr>
        <w:t xml:space="preserve"> сельсовет </w:t>
      </w:r>
      <w:r w:rsidRPr="00DD7B37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DD7B37">
        <w:rPr>
          <w:b/>
          <w:bCs/>
          <w:sz w:val="28"/>
          <w:szCs w:val="28"/>
        </w:rPr>
        <w:t>Альшеевский</w:t>
      </w:r>
      <w:proofErr w:type="spellEnd"/>
      <w:r w:rsidRPr="00DD7B37">
        <w:rPr>
          <w:b/>
          <w:bCs/>
          <w:sz w:val="28"/>
          <w:szCs w:val="28"/>
        </w:rPr>
        <w:t xml:space="preserve"> район  Республики Башкортостан</w:t>
      </w:r>
      <w:r w:rsidRPr="00DD7B37">
        <w:rPr>
          <w:b/>
          <w:sz w:val="28"/>
          <w:szCs w:val="28"/>
        </w:rPr>
        <w:t xml:space="preserve">, </w:t>
      </w:r>
      <w:proofErr w:type="spellStart"/>
      <w:r w:rsidRPr="00DD7B37">
        <w:rPr>
          <w:b/>
          <w:sz w:val="28"/>
          <w:szCs w:val="28"/>
        </w:rPr>
        <w:t>администрируемых</w:t>
      </w:r>
      <w:proofErr w:type="spellEnd"/>
      <w:r w:rsidRPr="00DD7B37">
        <w:rPr>
          <w:b/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b/>
          <w:sz w:val="28"/>
          <w:szCs w:val="28"/>
        </w:rPr>
        <w:t>Мендяновский</w:t>
      </w:r>
      <w:proofErr w:type="spellEnd"/>
      <w:r w:rsidRPr="00DD7B3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D7B37">
        <w:rPr>
          <w:b/>
          <w:sz w:val="28"/>
          <w:szCs w:val="28"/>
        </w:rPr>
        <w:t>Альшеевский</w:t>
      </w:r>
      <w:proofErr w:type="spellEnd"/>
      <w:r w:rsidRPr="00DD7B37">
        <w:rPr>
          <w:b/>
          <w:sz w:val="28"/>
          <w:szCs w:val="28"/>
        </w:rPr>
        <w:t xml:space="preserve"> район Республики Башкортостан</w:t>
      </w:r>
    </w:p>
    <w:p w:rsidR="00184FE4" w:rsidRPr="00DD7B37" w:rsidRDefault="00184FE4" w:rsidP="00184FE4">
      <w:pPr>
        <w:jc w:val="center"/>
        <w:rPr>
          <w:b/>
          <w:sz w:val="28"/>
          <w:szCs w:val="28"/>
        </w:rPr>
      </w:pPr>
    </w:p>
    <w:p w:rsidR="00184FE4" w:rsidRPr="00DD7B37" w:rsidRDefault="00184FE4" w:rsidP="00184FE4">
      <w:pPr>
        <w:jc w:val="center"/>
        <w:rPr>
          <w:sz w:val="28"/>
          <w:szCs w:val="28"/>
        </w:rPr>
      </w:pPr>
    </w:p>
    <w:p w:rsidR="00184FE4" w:rsidRPr="00DD7B37" w:rsidRDefault="00184FE4" w:rsidP="00184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B37">
        <w:rPr>
          <w:sz w:val="28"/>
          <w:szCs w:val="28"/>
        </w:rPr>
        <w:t>Во исполнение статьи 160.2 Бюджетного кодекса Российской Федерации, руководствуясь постановлением Правительства Российской Федерации от 11 апреля 2017 года № 435 «О внесении изменений в общие требования к методике прогнозирования поступлений по источникам финансирования дефицита бюджета», постановляю:</w:t>
      </w:r>
    </w:p>
    <w:p w:rsidR="00184FE4" w:rsidRPr="00DD7B37" w:rsidRDefault="00184FE4" w:rsidP="00184FE4">
      <w:pPr>
        <w:ind w:firstLine="708"/>
        <w:jc w:val="both"/>
        <w:rPr>
          <w:sz w:val="28"/>
          <w:szCs w:val="28"/>
        </w:rPr>
      </w:pPr>
      <w:r w:rsidRPr="00DD7B3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постановление №42 от 02.08.2016 года «Об утверждении Методики прогнозирования поступлений по источникам финансирования дефицита бюджет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DD7B37">
        <w:rPr>
          <w:sz w:val="28"/>
          <w:szCs w:val="28"/>
        </w:rPr>
        <w:t xml:space="preserve"> сельсовет муниципального района </w:t>
      </w:r>
      <w:proofErr w:type="spellStart"/>
      <w:r w:rsidRPr="00DD7B37">
        <w:rPr>
          <w:sz w:val="28"/>
          <w:szCs w:val="28"/>
        </w:rPr>
        <w:t>Альшеевский</w:t>
      </w:r>
      <w:proofErr w:type="spellEnd"/>
      <w:r w:rsidRPr="00DD7B3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F33CCB">
        <w:rPr>
          <w:sz w:val="28"/>
          <w:szCs w:val="28"/>
        </w:rPr>
        <w:t xml:space="preserve"> </w:t>
      </w:r>
      <w:proofErr w:type="spellStart"/>
      <w:r w:rsidRPr="00DD7B37">
        <w:rPr>
          <w:sz w:val="28"/>
          <w:szCs w:val="28"/>
        </w:rPr>
        <w:t>администрируемых</w:t>
      </w:r>
      <w:proofErr w:type="spellEnd"/>
      <w:r w:rsidRPr="00DD7B37"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DD7B37">
        <w:rPr>
          <w:sz w:val="28"/>
          <w:szCs w:val="28"/>
        </w:rPr>
        <w:t xml:space="preserve"> сельсовет муниципального района </w:t>
      </w:r>
      <w:proofErr w:type="spellStart"/>
      <w:r w:rsidRPr="00DD7B37">
        <w:rPr>
          <w:sz w:val="28"/>
          <w:szCs w:val="28"/>
        </w:rPr>
        <w:t>Альшеевский</w:t>
      </w:r>
      <w:proofErr w:type="spellEnd"/>
      <w:r w:rsidRPr="00DD7B3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у</w:t>
      </w:r>
      <w:r w:rsidRPr="00DD7B37">
        <w:rPr>
          <w:sz w:val="28"/>
          <w:szCs w:val="28"/>
        </w:rPr>
        <w:t>твердить прилагаемую Методику</w:t>
      </w:r>
      <w:r w:rsidRPr="00DD7B37">
        <w:rPr>
          <w:b/>
          <w:sz w:val="28"/>
          <w:szCs w:val="28"/>
        </w:rPr>
        <w:t xml:space="preserve"> </w:t>
      </w:r>
      <w:r w:rsidRPr="00DD7B37">
        <w:rPr>
          <w:sz w:val="28"/>
          <w:szCs w:val="28"/>
        </w:rPr>
        <w:t xml:space="preserve">прогнозирования поступлений по источникам финансирования дефицита бюджета сельского поселения 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DD7B37">
        <w:rPr>
          <w:sz w:val="28"/>
          <w:szCs w:val="28"/>
        </w:rPr>
        <w:t xml:space="preserve"> сельсовет муниципального  района </w:t>
      </w:r>
      <w:proofErr w:type="spellStart"/>
      <w:r w:rsidRPr="00DD7B37">
        <w:rPr>
          <w:sz w:val="28"/>
          <w:szCs w:val="28"/>
        </w:rPr>
        <w:t>Альшеевский</w:t>
      </w:r>
      <w:proofErr w:type="spellEnd"/>
      <w:r w:rsidRPr="00DD7B37">
        <w:rPr>
          <w:sz w:val="28"/>
          <w:szCs w:val="28"/>
        </w:rPr>
        <w:t xml:space="preserve"> район Республики</w:t>
      </w:r>
      <w:proofErr w:type="gramEnd"/>
      <w:r w:rsidRPr="00DD7B37">
        <w:rPr>
          <w:sz w:val="28"/>
          <w:szCs w:val="28"/>
        </w:rPr>
        <w:t xml:space="preserve"> Башкортостан, </w:t>
      </w:r>
      <w:proofErr w:type="spellStart"/>
      <w:r w:rsidRPr="00DD7B37">
        <w:rPr>
          <w:sz w:val="28"/>
          <w:szCs w:val="28"/>
        </w:rPr>
        <w:t>администрируемых</w:t>
      </w:r>
      <w:proofErr w:type="spellEnd"/>
      <w:r w:rsidRPr="00DD7B37"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DD7B37">
        <w:rPr>
          <w:sz w:val="28"/>
          <w:szCs w:val="28"/>
        </w:rPr>
        <w:t xml:space="preserve"> сельсовет </w:t>
      </w:r>
      <w:r w:rsidRPr="00DD7B37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DD7B37">
        <w:rPr>
          <w:sz w:val="28"/>
          <w:szCs w:val="28"/>
        </w:rPr>
        <w:t>Альшеевский</w:t>
      </w:r>
      <w:proofErr w:type="spellEnd"/>
      <w:r w:rsidRPr="00DD7B37">
        <w:rPr>
          <w:sz w:val="28"/>
          <w:szCs w:val="28"/>
        </w:rPr>
        <w:t xml:space="preserve"> район Республики Башкортостан,   </w:t>
      </w:r>
      <w:r>
        <w:rPr>
          <w:sz w:val="28"/>
          <w:szCs w:val="28"/>
        </w:rPr>
        <w:t xml:space="preserve">изложив его </w:t>
      </w:r>
      <w:r w:rsidRPr="00DD7B37">
        <w:rPr>
          <w:sz w:val="28"/>
          <w:szCs w:val="28"/>
        </w:rPr>
        <w:t>в новой редакции.</w:t>
      </w:r>
    </w:p>
    <w:p w:rsidR="00184FE4" w:rsidRPr="005E1E47" w:rsidRDefault="00184FE4" w:rsidP="001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лицам, осуществляющим прогнозирование поступлений, о</w:t>
      </w:r>
      <w:r w:rsidRPr="00803F3C">
        <w:rPr>
          <w:sz w:val="28"/>
          <w:szCs w:val="28"/>
        </w:rPr>
        <w:t xml:space="preserve">беспечить формирование </w:t>
      </w:r>
      <w:r>
        <w:rPr>
          <w:sz w:val="28"/>
          <w:szCs w:val="28"/>
        </w:rPr>
        <w:t xml:space="preserve">прогноза поступлений по источникам финансирования дефицита бюджета </w:t>
      </w:r>
      <w:r w:rsidRPr="00A65E07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A65E0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Pr="00AF12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AF1249">
        <w:rPr>
          <w:sz w:val="28"/>
          <w:szCs w:val="28"/>
        </w:rPr>
        <w:t>Республики Башкортостан</w:t>
      </w:r>
      <w:r w:rsidRPr="00803F3C">
        <w:rPr>
          <w:sz w:val="28"/>
          <w:szCs w:val="28"/>
        </w:rPr>
        <w:t xml:space="preserve"> на очередной финансовый год и плановый период в соответствии с </w:t>
      </w:r>
      <w:r>
        <w:rPr>
          <w:sz w:val="28"/>
          <w:szCs w:val="28"/>
        </w:rPr>
        <w:t>Методикой.</w:t>
      </w:r>
    </w:p>
    <w:p w:rsidR="00184FE4" w:rsidRPr="00046669" w:rsidRDefault="00184FE4" w:rsidP="00184F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66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669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FE4" w:rsidRPr="00DD7B37" w:rsidRDefault="00184FE4" w:rsidP="00184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FE4" w:rsidRPr="00DD7B37" w:rsidRDefault="00184FE4" w:rsidP="00184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FE4" w:rsidRPr="00DD7B37" w:rsidRDefault="00184FE4" w:rsidP="00184FE4">
      <w:pPr>
        <w:jc w:val="both"/>
        <w:rPr>
          <w:sz w:val="28"/>
          <w:szCs w:val="28"/>
        </w:rPr>
      </w:pPr>
    </w:p>
    <w:p w:rsidR="00184FE4" w:rsidRPr="00DD7B37" w:rsidRDefault="00184FE4" w:rsidP="00184FE4">
      <w:pPr>
        <w:jc w:val="both"/>
        <w:rPr>
          <w:sz w:val="28"/>
          <w:szCs w:val="28"/>
        </w:rPr>
      </w:pPr>
    </w:p>
    <w:p w:rsidR="00184FE4" w:rsidRPr="00DD7B37" w:rsidRDefault="00184FE4" w:rsidP="00184FE4">
      <w:pPr>
        <w:jc w:val="both"/>
        <w:rPr>
          <w:sz w:val="28"/>
          <w:szCs w:val="28"/>
        </w:rPr>
      </w:pPr>
      <w:r w:rsidRPr="00DD7B37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М.Набиуллин</w:t>
      </w:r>
      <w:proofErr w:type="spellEnd"/>
    </w:p>
    <w:p w:rsidR="00184FE4" w:rsidRPr="00DD7B37" w:rsidRDefault="00184FE4" w:rsidP="00184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C36589" w:rsidRDefault="00C36589" w:rsidP="00184FE4">
      <w:pPr>
        <w:ind w:left="5220"/>
        <w:jc w:val="right"/>
        <w:rPr>
          <w:sz w:val="28"/>
          <w:szCs w:val="28"/>
        </w:rPr>
      </w:pPr>
    </w:p>
    <w:p w:rsidR="00184FE4" w:rsidRPr="00DD7B37" w:rsidRDefault="00184FE4" w:rsidP="00184FE4">
      <w:pPr>
        <w:ind w:left="5220"/>
        <w:jc w:val="right"/>
        <w:rPr>
          <w:sz w:val="28"/>
          <w:szCs w:val="28"/>
        </w:rPr>
      </w:pPr>
      <w:r w:rsidRPr="00DD7B37">
        <w:rPr>
          <w:sz w:val="28"/>
          <w:szCs w:val="28"/>
        </w:rPr>
        <w:lastRenderedPageBreak/>
        <w:t xml:space="preserve">    Утверждена</w:t>
      </w:r>
    </w:p>
    <w:p w:rsidR="00184FE4" w:rsidRPr="00DD7B37" w:rsidRDefault="00184FE4" w:rsidP="00184FE4">
      <w:pPr>
        <w:ind w:left="5220"/>
        <w:jc w:val="right"/>
        <w:rPr>
          <w:sz w:val="28"/>
          <w:szCs w:val="28"/>
        </w:rPr>
      </w:pPr>
      <w:r w:rsidRPr="00DD7B37">
        <w:rPr>
          <w:sz w:val="28"/>
          <w:szCs w:val="28"/>
        </w:rPr>
        <w:t xml:space="preserve">постановлением </w:t>
      </w:r>
    </w:p>
    <w:p w:rsidR="00184FE4" w:rsidRPr="00DD7B37" w:rsidRDefault="00184FE4" w:rsidP="00184FE4">
      <w:pPr>
        <w:ind w:left="5220"/>
        <w:jc w:val="right"/>
        <w:rPr>
          <w:sz w:val="28"/>
          <w:szCs w:val="28"/>
        </w:rPr>
      </w:pPr>
      <w:r w:rsidRPr="00DD7B37">
        <w:rPr>
          <w:sz w:val="28"/>
          <w:szCs w:val="28"/>
        </w:rPr>
        <w:t xml:space="preserve">главы сельского поселения </w:t>
      </w:r>
    </w:p>
    <w:p w:rsidR="00184FE4" w:rsidRPr="00DD7B37" w:rsidRDefault="00184FE4" w:rsidP="00184FE4">
      <w:pPr>
        <w:ind w:left="5220"/>
        <w:jc w:val="right"/>
        <w:rPr>
          <w:sz w:val="28"/>
          <w:szCs w:val="28"/>
        </w:rPr>
      </w:pPr>
      <w:r w:rsidRPr="00DD7B37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DD7B37">
        <w:rPr>
          <w:sz w:val="28"/>
          <w:szCs w:val="28"/>
        </w:rPr>
        <w:t xml:space="preserve"> мая 2017</w:t>
      </w:r>
      <w:r>
        <w:rPr>
          <w:sz w:val="28"/>
          <w:szCs w:val="28"/>
        </w:rPr>
        <w:t>г. № 12 /1</w:t>
      </w:r>
    </w:p>
    <w:p w:rsidR="00184FE4" w:rsidRPr="00DD7B37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84FE4" w:rsidRPr="00DD7B37" w:rsidRDefault="00184FE4" w:rsidP="00184FE4">
      <w:pPr>
        <w:widowControl w:val="0"/>
        <w:tabs>
          <w:tab w:val="left" w:pos="5670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D7B37">
        <w:rPr>
          <w:sz w:val="28"/>
          <w:szCs w:val="28"/>
        </w:rPr>
        <w:t xml:space="preserve">                                                     </w:t>
      </w:r>
    </w:p>
    <w:p w:rsidR="00184FE4" w:rsidRPr="00DD7B37" w:rsidRDefault="00184FE4" w:rsidP="00184FE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84FE4" w:rsidRPr="00DD7B37" w:rsidRDefault="00184FE4" w:rsidP="00184FE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D7B37">
        <w:rPr>
          <w:sz w:val="28"/>
          <w:szCs w:val="28"/>
        </w:rPr>
        <w:t xml:space="preserve">МЕТОДИКА  </w:t>
      </w:r>
    </w:p>
    <w:p w:rsidR="00184FE4" w:rsidRPr="00DD7B37" w:rsidRDefault="00184FE4" w:rsidP="00184FE4">
      <w:pPr>
        <w:jc w:val="center"/>
        <w:rPr>
          <w:sz w:val="28"/>
          <w:szCs w:val="28"/>
        </w:rPr>
      </w:pPr>
      <w:r w:rsidRPr="00DD7B37">
        <w:rPr>
          <w:sz w:val="28"/>
          <w:szCs w:val="28"/>
        </w:rPr>
        <w:t xml:space="preserve">прогнозирования поступлений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DD7B37">
        <w:rPr>
          <w:sz w:val="28"/>
          <w:szCs w:val="28"/>
        </w:rPr>
        <w:t xml:space="preserve"> сельсовет</w:t>
      </w:r>
      <w:r w:rsidRPr="00DD7B37">
        <w:rPr>
          <w:szCs w:val="28"/>
        </w:rPr>
        <w:t xml:space="preserve"> </w:t>
      </w:r>
      <w:r w:rsidRPr="00DD7B37">
        <w:rPr>
          <w:bCs/>
          <w:sz w:val="28"/>
          <w:szCs w:val="28"/>
        </w:rPr>
        <w:t xml:space="preserve">муниципального района </w:t>
      </w:r>
      <w:proofErr w:type="spellStart"/>
      <w:r w:rsidRPr="00DD7B37">
        <w:rPr>
          <w:bCs/>
          <w:sz w:val="28"/>
          <w:szCs w:val="28"/>
        </w:rPr>
        <w:t>Альшеевский</w:t>
      </w:r>
      <w:proofErr w:type="spellEnd"/>
      <w:r w:rsidRPr="00DD7B37">
        <w:rPr>
          <w:bCs/>
          <w:sz w:val="28"/>
          <w:szCs w:val="28"/>
        </w:rPr>
        <w:t xml:space="preserve"> район  Республики Башкортостан</w:t>
      </w:r>
      <w:r w:rsidRPr="00DD7B37">
        <w:rPr>
          <w:sz w:val="28"/>
          <w:szCs w:val="28"/>
        </w:rPr>
        <w:t xml:space="preserve">, </w:t>
      </w:r>
      <w:proofErr w:type="spellStart"/>
      <w:r w:rsidRPr="00DD7B37">
        <w:rPr>
          <w:sz w:val="28"/>
          <w:szCs w:val="28"/>
        </w:rPr>
        <w:t>администрируемых</w:t>
      </w:r>
      <w:proofErr w:type="spellEnd"/>
      <w:r w:rsidRPr="00DD7B37"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DD7B37">
        <w:rPr>
          <w:sz w:val="28"/>
          <w:szCs w:val="28"/>
        </w:rPr>
        <w:t xml:space="preserve"> сельсовет муниципального района </w:t>
      </w:r>
      <w:proofErr w:type="spellStart"/>
      <w:r w:rsidRPr="00DD7B37">
        <w:rPr>
          <w:sz w:val="28"/>
          <w:szCs w:val="28"/>
        </w:rPr>
        <w:t>Альшеевский</w:t>
      </w:r>
      <w:proofErr w:type="spellEnd"/>
      <w:r w:rsidRPr="00DD7B37">
        <w:rPr>
          <w:sz w:val="28"/>
          <w:szCs w:val="28"/>
        </w:rPr>
        <w:t xml:space="preserve"> район Республики Башкортостан</w:t>
      </w:r>
    </w:p>
    <w:p w:rsidR="00184FE4" w:rsidRPr="00DD7B37" w:rsidRDefault="00184FE4" w:rsidP="00184FE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84FE4" w:rsidRPr="00DD7B37" w:rsidRDefault="00184FE4" w:rsidP="00184FE4">
      <w:pPr>
        <w:autoSpaceDE w:val="0"/>
        <w:autoSpaceDN w:val="0"/>
        <w:adjustRightInd w:val="0"/>
        <w:spacing w:line="276" w:lineRule="auto"/>
        <w:ind w:left="1287"/>
        <w:rPr>
          <w:sz w:val="28"/>
          <w:szCs w:val="28"/>
        </w:rPr>
      </w:pPr>
    </w:p>
    <w:p w:rsidR="00184FE4" w:rsidRPr="00DD7B37" w:rsidRDefault="00184FE4" w:rsidP="00184F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7B3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DD7B37">
        <w:rPr>
          <w:rFonts w:eastAsia="Calibri"/>
          <w:sz w:val="28"/>
          <w:szCs w:val="28"/>
          <w:lang w:eastAsia="en-US"/>
        </w:rPr>
        <w:t xml:space="preserve">Настоящая Методика прогнозирования поступлений </w:t>
      </w:r>
      <w:r w:rsidRPr="00DD7B37">
        <w:rPr>
          <w:sz w:val="28"/>
          <w:szCs w:val="28"/>
        </w:rPr>
        <w:t xml:space="preserve">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DD7B37">
        <w:rPr>
          <w:sz w:val="28"/>
          <w:szCs w:val="28"/>
        </w:rPr>
        <w:t xml:space="preserve"> сельсовет </w:t>
      </w:r>
      <w:r w:rsidRPr="00DD7B37">
        <w:rPr>
          <w:bCs/>
          <w:sz w:val="28"/>
          <w:szCs w:val="28"/>
        </w:rPr>
        <w:t xml:space="preserve">муниципального района </w:t>
      </w:r>
      <w:proofErr w:type="spellStart"/>
      <w:r w:rsidRPr="00DD7B37">
        <w:rPr>
          <w:bCs/>
          <w:sz w:val="28"/>
          <w:szCs w:val="28"/>
        </w:rPr>
        <w:t>Альшеевский</w:t>
      </w:r>
      <w:proofErr w:type="spellEnd"/>
      <w:r w:rsidRPr="00DD7B37">
        <w:rPr>
          <w:bCs/>
          <w:sz w:val="28"/>
          <w:szCs w:val="28"/>
        </w:rPr>
        <w:t xml:space="preserve"> район  Республики Башкортостан</w:t>
      </w:r>
      <w:r w:rsidRPr="00DD7B37">
        <w:rPr>
          <w:sz w:val="28"/>
          <w:szCs w:val="28"/>
        </w:rPr>
        <w:t xml:space="preserve">, </w:t>
      </w:r>
      <w:proofErr w:type="spellStart"/>
      <w:r w:rsidRPr="00DD7B37">
        <w:rPr>
          <w:sz w:val="28"/>
          <w:szCs w:val="28"/>
        </w:rPr>
        <w:t>администрируемых</w:t>
      </w:r>
      <w:proofErr w:type="spellEnd"/>
      <w:r w:rsidRPr="00DD7B37"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DD7B37">
        <w:rPr>
          <w:sz w:val="28"/>
          <w:szCs w:val="28"/>
        </w:rPr>
        <w:t xml:space="preserve"> сельсовет муниципального района </w:t>
      </w:r>
      <w:proofErr w:type="spellStart"/>
      <w:r w:rsidRPr="00DD7B37">
        <w:rPr>
          <w:sz w:val="28"/>
          <w:szCs w:val="28"/>
        </w:rPr>
        <w:t>Альшеевский</w:t>
      </w:r>
      <w:proofErr w:type="spellEnd"/>
      <w:r w:rsidRPr="00DD7B37">
        <w:rPr>
          <w:sz w:val="28"/>
          <w:szCs w:val="28"/>
        </w:rPr>
        <w:t xml:space="preserve"> район Республики Башкортостан </w:t>
      </w:r>
      <w:r w:rsidRPr="00DD7B37">
        <w:rPr>
          <w:rFonts w:eastAsia="Calibri"/>
          <w:sz w:val="28"/>
          <w:szCs w:val="28"/>
          <w:lang w:eastAsia="en-US"/>
        </w:rPr>
        <w:t xml:space="preserve">(далее – Методика) определяет перечень и </w:t>
      </w:r>
      <w:r w:rsidRPr="000B0DB0">
        <w:rPr>
          <w:rFonts w:eastAsia="Calibri"/>
          <w:sz w:val="28"/>
          <w:szCs w:val="28"/>
          <w:lang w:eastAsia="en-US"/>
        </w:rPr>
        <w:t>порядок расчета</w:t>
      </w:r>
      <w:r w:rsidRPr="00DD7B37">
        <w:rPr>
          <w:rFonts w:eastAsia="Calibri"/>
          <w:sz w:val="28"/>
          <w:szCs w:val="28"/>
          <w:lang w:eastAsia="en-US"/>
        </w:rPr>
        <w:t xml:space="preserve"> прогнозного объема поступлений по источникам финансирования дефицита бюджета (далее – поступления), в отношении которых администрация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DD7B37">
        <w:rPr>
          <w:sz w:val="28"/>
          <w:szCs w:val="28"/>
        </w:rPr>
        <w:t xml:space="preserve"> сельсовет муниципального района </w:t>
      </w:r>
      <w:proofErr w:type="spellStart"/>
      <w:r w:rsidRPr="00DD7B37">
        <w:rPr>
          <w:sz w:val="28"/>
          <w:szCs w:val="28"/>
        </w:rPr>
        <w:t>Альшеевский</w:t>
      </w:r>
      <w:proofErr w:type="spellEnd"/>
      <w:r w:rsidRPr="00DD7B37">
        <w:rPr>
          <w:sz w:val="28"/>
          <w:szCs w:val="28"/>
        </w:rPr>
        <w:t xml:space="preserve"> район</w:t>
      </w:r>
      <w:proofErr w:type="gramEnd"/>
      <w:r w:rsidRPr="00DD7B37">
        <w:rPr>
          <w:sz w:val="28"/>
          <w:szCs w:val="28"/>
        </w:rPr>
        <w:t xml:space="preserve"> </w:t>
      </w:r>
      <w:r w:rsidRPr="00DD7B37">
        <w:rPr>
          <w:rFonts w:eastAsia="Calibri"/>
          <w:sz w:val="28"/>
          <w:szCs w:val="28"/>
          <w:lang w:eastAsia="en-US"/>
        </w:rPr>
        <w:t xml:space="preserve">Республики Башкортостан выполняет бюджетные полномочия главного </w:t>
      </w:r>
      <w:proofErr w:type="gramStart"/>
      <w:r w:rsidRPr="00DD7B37">
        <w:rPr>
          <w:rFonts w:eastAsia="Calibri"/>
          <w:sz w:val="28"/>
          <w:szCs w:val="28"/>
          <w:lang w:eastAsia="en-US"/>
        </w:rPr>
        <w:t>администратора источников финансирования дефицита бюджета сельского поселения</w:t>
      </w:r>
      <w:proofErr w:type="gramEnd"/>
      <w:r w:rsidRPr="00DD7B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DD7B37">
        <w:rPr>
          <w:sz w:val="28"/>
          <w:szCs w:val="28"/>
        </w:rPr>
        <w:t xml:space="preserve"> сельсовет муниципального района </w:t>
      </w:r>
      <w:proofErr w:type="spellStart"/>
      <w:r w:rsidRPr="00DD7B37">
        <w:rPr>
          <w:sz w:val="28"/>
          <w:szCs w:val="28"/>
        </w:rPr>
        <w:t>Альшеевский</w:t>
      </w:r>
      <w:proofErr w:type="spellEnd"/>
      <w:r w:rsidRPr="00DD7B37">
        <w:rPr>
          <w:sz w:val="28"/>
          <w:szCs w:val="28"/>
        </w:rPr>
        <w:t xml:space="preserve"> район</w:t>
      </w:r>
      <w:r w:rsidRPr="00DD7B37">
        <w:rPr>
          <w:rFonts w:eastAsia="Calibri"/>
          <w:sz w:val="28"/>
          <w:szCs w:val="28"/>
          <w:lang w:eastAsia="en-US"/>
        </w:rPr>
        <w:t xml:space="preserve"> Республики Башкортостан.</w:t>
      </w:r>
    </w:p>
    <w:p w:rsidR="00184FE4" w:rsidRPr="00DD7B37" w:rsidRDefault="00184FE4" w:rsidP="00184FE4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DD7B37">
        <w:rPr>
          <w:rFonts w:eastAsia="Calibri"/>
          <w:sz w:val="28"/>
          <w:szCs w:val="28"/>
          <w:lang w:eastAsia="en-US"/>
        </w:rPr>
        <w:t xml:space="preserve">2. Перечень поступлений включает следующие коды бюджетной </w:t>
      </w:r>
      <w:proofErr w:type="gramStart"/>
      <w:r w:rsidRPr="00DD7B37">
        <w:rPr>
          <w:rFonts w:eastAsia="Calibri"/>
          <w:sz w:val="28"/>
          <w:szCs w:val="28"/>
          <w:lang w:eastAsia="en-US"/>
        </w:rPr>
        <w:t>классификации источников финансирования дефицита бюджета сельского поселения</w:t>
      </w:r>
      <w:proofErr w:type="gramEnd"/>
      <w:r w:rsidRPr="00DD7B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DD7B37">
        <w:rPr>
          <w:sz w:val="28"/>
          <w:szCs w:val="28"/>
        </w:rPr>
        <w:t xml:space="preserve"> сельсовет муниципального района </w:t>
      </w:r>
      <w:proofErr w:type="spellStart"/>
      <w:r w:rsidRPr="00DD7B37">
        <w:rPr>
          <w:sz w:val="28"/>
          <w:szCs w:val="28"/>
        </w:rPr>
        <w:t>Альшеевский</w:t>
      </w:r>
      <w:proofErr w:type="spellEnd"/>
      <w:r w:rsidRPr="00DD7B37">
        <w:rPr>
          <w:sz w:val="28"/>
          <w:szCs w:val="28"/>
        </w:rPr>
        <w:t xml:space="preserve"> район</w:t>
      </w:r>
      <w:r w:rsidRPr="00DD7B37">
        <w:rPr>
          <w:rFonts w:eastAsia="Calibri"/>
          <w:sz w:val="28"/>
          <w:szCs w:val="28"/>
          <w:lang w:eastAsia="en-US"/>
        </w:rPr>
        <w:t xml:space="preserve"> Республики Башкортостан:</w:t>
      </w:r>
    </w:p>
    <w:p w:rsidR="00184FE4" w:rsidRPr="00DD7B37" w:rsidRDefault="00184FE4" w:rsidP="00184FE4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969"/>
        <w:gridCol w:w="2268"/>
      </w:tblGrid>
      <w:tr w:rsidR="00184FE4" w:rsidRPr="00DD7B37" w:rsidTr="0091360B">
        <w:tc>
          <w:tcPr>
            <w:tcW w:w="3510" w:type="dxa"/>
            <w:shd w:val="clear" w:color="auto" w:fill="auto"/>
          </w:tcPr>
          <w:p w:rsidR="00184FE4" w:rsidRPr="00DD7B37" w:rsidRDefault="00184FE4" w:rsidP="0091360B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DD7B37">
              <w:rPr>
                <w:rFonts w:eastAsia="Calibri"/>
                <w:sz w:val="27"/>
                <w:szCs w:val="27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shd w:val="clear" w:color="auto" w:fill="auto"/>
          </w:tcPr>
          <w:p w:rsidR="00184FE4" w:rsidRPr="00DD7B37" w:rsidRDefault="00184FE4" w:rsidP="0091360B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DD7B37">
              <w:rPr>
                <w:rFonts w:eastAsia="Calibri"/>
                <w:sz w:val="27"/>
                <w:szCs w:val="27"/>
                <w:lang w:eastAsia="en-US"/>
              </w:rPr>
              <w:t>Наименование кода бюджетной классификации                                      (вид поступлений)</w:t>
            </w:r>
          </w:p>
        </w:tc>
        <w:tc>
          <w:tcPr>
            <w:tcW w:w="2268" w:type="dxa"/>
            <w:shd w:val="clear" w:color="auto" w:fill="auto"/>
          </w:tcPr>
          <w:p w:rsidR="00184FE4" w:rsidRPr="00DD7B37" w:rsidRDefault="00184FE4" w:rsidP="0091360B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DD7B37">
              <w:rPr>
                <w:rFonts w:eastAsia="Calibri"/>
                <w:sz w:val="27"/>
                <w:szCs w:val="27"/>
                <w:lang w:eastAsia="en-US"/>
              </w:rPr>
              <w:t>Отдел, осуществляющий прогнозирование поступлений</w:t>
            </w:r>
          </w:p>
        </w:tc>
      </w:tr>
      <w:tr w:rsidR="00184FE4" w:rsidRPr="00DD7B37" w:rsidTr="0091360B">
        <w:tc>
          <w:tcPr>
            <w:tcW w:w="3510" w:type="dxa"/>
            <w:shd w:val="clear" w:color="auto" w:fill="auto"/>
          </w:tcPr>
          <w:p w:rsidR="00184FE4" w:rsidRPr="00DD7B37" w:rsidRDefault="00184FE4" w:rsidP="009136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jc w:val="center"/>
              <w:rPr>
                <w:iCs/>
                <w:sz w:val="28"/>
                <w:szCs w:val="28"/>
              </w:rPr>
            </w:pPr>
            <w:r w:rsidRPr="00DD7B37">
              <w:rPr>
                <w:iCs/>
                <w:sz w:val="28"/>
                <w:szCs w:val="28"/>
              </w:rPr>
              <w:t>791 01 03 01 00 10 0000 710</w:t>
            </w:r>
          </w:p>
        </w:tc>
        <w:tc>
          <w:tcPr>
            <w:tcW w:w="3969" w:type="dxa"/>
            <w:shd w:val="clear" w:color="auto" w:fill="auto"/>
          </w:tcPr>
          <w:p w:rsidR="00184FE4" w:rsidRPr="00DD7B37" w:rsidRDefault="00184FE4" w:rsidP="009136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rPr>
                <w:iCs/>
                <w:sz w:val="28"/>
                <w:szCs w:val="28"/>
              </w:rPr>
            </w:pPr>
            <w:r w:rsidRPr="00DD7B37">
              <w:rPr>
                <w:iCs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268" w:type="dxa"/>
            <w:shd w:val="clear" w:color="auto" w:fill="auto"/>
          </w:tcPr>
          <w:p w:rsidR="00184FE4" w:rsidRPr="00DD7B37" w:rsidRDefault="00184FE4" w:rsidP="0091360B">
            <w:r w:rsidRPr="00DD7B37">
              <w:rPr>
                <w:rFonts w:eastAsia="Calibri"/>
                <w:sz w:val="27"/>
                <w:szCs w:val="27"/>
                <w:lang w:eastAsia="en-US"/>
              </w:rPr>
              <w:t>Ответственное лицо, осуществляющее прогнозирование поступлений</w:t>
            </w:r>
          </w:p>
        </w:tc>
      </w:tr>
    </w:tbl>
    <w:p w:rsidR="00184FE4" w:rsidRPr="00DD7B37" w:rsidRDefault="00184FE4" w:rsidP="00184FE4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184FE4" w:rsidRPr="00DD7B37" w:rsidRDefault="00184FE4" w:rsidP="00184FE4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DD7B37">
        <w:rPr>
          <w:rFonts w:eastAsia="Calibri"/>
          <w:sz w:val="28"/>
          <w:szCs w:val="28"/>
          <w:lang w:eastAsia="en-US"/>
        </w:rPr>
        <w:t>3. Прогнозный объем поступлений рассчитывается по каждому виду поступлений с учетом внешних и внутренних факторов, оказывающих влияние на динамику поступлений, при их наличии.</w:t>
      </w:r>
    </w:p>
    <w:p w:rsidR="00184FE4" w:rsidRPr="00DD7B37" w:rsidRDefault="00184FE4" w:rsidP="00184FE4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 w:rsidRPr="00DD7B37">
        <w:rPr>
          <w:rFonts w:eastAsia="Calibri"/>
          <w:sz w:val="28"/>
          <w:szCs w:val="28"/>
          <w:lang w:eastAsia="en-US"/>
        </w:rPr>
        <w:t xml:space="preserve">3.1.Прогнозный объем поступлений от муниципальных заимствований рассчитывается методом прямого счета исходя из объема потребности в заемных средствах, направляемых на финансирование дефицита бюджета </w:t>
      </w:r>
      <w:r w:rsidRPr="00DD7B3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DD7B37">
        <w:rPr>
          <w:sz w:val="28"/>
          <w:szCs w:val="28"/>
        </w:rPr>
        <w:t xml:space="preserve"> сельсовет муниципального района </w:t>
      </w:r>
      <w:proofErr w:type="spellStart"/>
      <w:r w:rsidRPr="00DD7B37">
        <w:rPr>
          <w:sz w:val="28"/>
          <w:szCs w:val="28"/>
        </w:rPr>
        <w:t>Альшеевский</w:t>
      </w:r>
      <w:proofErr w:type="spellEnd"/>
      <w:r w:rsidRPr="00DD7B37">
        <w:rPr>
          <w:sz w:val="28"/>
          <w:szCs w:val="28"/>
        </w:rPr>
        <w:t xml:space="preserve"> район </w:t>
      </w:r>
      <w:r w:rsidRPr="00DD7B37">
        <w:rPr>
          <w:rFonts w:eastAsia="Calibri"/>
          <w:sz w:val="28"/>
          <w:szCs w:val="28"/>
          <w:lang w:eastAsia="en-US"/>
        </w:rPr>
        <w:t xml:space="preserve">Республики Башкортостан (далее – сельское поселение) и на погашение долговых обязательств </w:t>
      </w:r>
      <w:r w:rsidRPr="00DD7B37">
        <w:rPr>
          <w:sz w:val="28"/>
          <w:szCs w:val="28"/>
        </w:rPr>
        <w:t>сельского поселения</w:t>
      </w:r>
      <w:r w:rsidRPr="00DD7B37">
        <w:rPr>
          <w:rFonts w:eastAsia="Calibri"/>
          <w:sz w:val="28"/>
          <w:szCs w:val="28"/>
          <w:lang w:eastAsia="en-US"/>
        </w:rPr>
        <w:t>, за вычетом иных не заемных источников финансирования дефицита бюджета, с учетом ограничений и предельных значений, установленных законодательством</w:t>
      </w:r>
      <w:proofErr w:type="gramEnd"/>
      <w:r w:rsidRPr="00DD7B37">
        <w:rPr>
          <w:rFonts w:eastAsia="Calibri"/>
          <w:sz w:val="28"/>
          <w:szCs w:val="28"/>
          <w:lang w:eastAsia="en-US"/>
        </w:rPr>
        <w:t xml:space="preserve"> Российской Федерации, Республики Башкортостан, </w:t>
      </w:r>
      <w:r w:rsidRPr="00DD7B37">
        <w:rPr>
          <w:sz w:val="28"/>
          <w:szCs w:val="28"/>
        </w:rPr>
        <w:t xml:space="preserve">муниципального района </w:t>
      </w:r>
      <w:proofErr w:type="spellStart"/>
      <w:r w:rsidRPr="00DD7B37">
        <w:rPr>
          <w:sz w:val="28"/>
          <w:szCs w:val="28"/>
        </w:rPr>
        <w:t>Альшеевский</w:t>
      </w:r>
      <w:proofErr w:type="spellEnd"/>
      <w:r w:rsidRPr="00DD7B37">
        <w:rPr>
          <w:sz w:val="28"/>
          <w:szCs w:val="28"/>
        </w:rPr>
        <w:t xml:space="preserve"> район </w:t>
      </w:r>
      <w:r w:rsidRPr="00DD7B37"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  <w:r w:rsidRPr="00DD7B37">
        <w:rPr>
          <w:sz w:val="28"/>
          <w:szCs w:val="28"/>
        </w:rPr>
        <w:t>и сельского поселения, по формуле</w:t>
      </w:r>
      <w:r w:rsidRPr="00DD7B37">
        <w:rPr>
          <w:rFonts w:eastAsia="Calibri"/>
          <w:sz w:val="28"/>
          <w:szCs w:val="28"/>
          <w:lang w:eastAsia="en-US"/>
        </w:rPr>
        <w:t>:</w:t>
      </w:r>
    </w:p>
    <w:p w:rsidR="00184FE4" w:rsidRPr="00DD7B37" w:rsidRDefault="00184FE4" w:rsidP="00184FE4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DD7B37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DD7B37">
        <w:rPr>
          <w:rFonts w:eastAsia="Calibri"/>
          <w:sz w:val="28"/>
          <w:szCs w:val="28"/>
          <w:lang w:eastAsia="en-US"/>
        </w:rPr>
        <w:t>з</w:t>
      </w:r>
      <w:proofErr w:type="spellEnd"/>
      <w:r w:rsidRPr="00DD7B37">
        <w:rPr>
          <w:rFonts w:eastAsia="Calibri"/>
          <w:sz w:val="28"/>
          <w:szCs w:val="28"/>
          <w:lang w:eastAsia="en-US"/>
        </w:rPr>
        <w:t xml:space="preserve"> = </w:t>
      </w:r>
      <w:r w:rsidRPr="00DD7B37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DD7B37">
        <w:rPr>
          <w:rFonts w:eastAsia="Calibri"/>
          <w:sz w:val="28"/>
          <w:szCs w:val="28"/>
          <w:lang w:eastAsia="en-US"/>
        </w:rPr>
        <w:t>д</w:t>
      </w:r>
      <w:proofErr w:type="spellEnd"/>
      <w:r w:rsidRPr="00DD7B37">
        <w:rPr>
          <w:rFonts w:eastAsia="Calibri"/>
          <w:sz w:val="28"/>
          <w:szCs w:val="28"/>
          <w:lang w:eastAsia="en-US"/>
        </w:rPr>
        <w:t>-</w:t>
      </w:r>
      <w:r w:rsidRPr="00DD7B37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DD7B37">
        <w:rPr>
          <w:rFonts w:eastAsia="Calibri"/>
          <w:sz w:val="28"/>
          <w:szCs w:val="28"/>
          <w:lang w:eastAsia="en-US"/>
        </w:rPr>
        <w:t>ии+</w:t>
      </w:r>
      <w:proofErr w:type="spellEnd"/>
      <w:r w:rsidRPr="00DD7B37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DD7B37">
        <w:rPr>
          <w:rFonts w:eastAsia="Calibri"/>
          <w:sz w:val="28"/>
          <w:szCs w:val="28"/>
          <w:lang w:eastAsia="en-US"/>
        </w:rPr>
        <w:t>пд</w:t>
      </w:r>
      <w:proofErr w:type="spellEnd"/>
      <w:r w:rsidRPr="00DD7B37">
        <w:rPr>
          <w:rFonts w:eastAsia="Calibri"/>
          <w:sz w:val="28"/>
          <w:szCs w:val="28"/>
          <w:lang w:eastAsia="en-US"/>
        </w:rPr>
        <w:t>, где:</w:t>
      </w:r>
    </w:p>
    <w:p w:rsidR="00184FE4" w:rsidRPr="00DD7B37" w:rsidRDefault="00184FE4" w:rsidP="00184FE4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DD7B37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DD7B37">
        <w:rPr>
          <w:rFonts w:eastAsia="Calibri"/>
          <w:sz w:val="28"/>
          <w:szCs w:val="28"/>
          <w:lang w:eastAsia="en-US"/>
        </w:rPr>
        <w:t>з</w:t>
      </w:r>
      <w:proofErr w:type="spellEnd"/>
      <w:r w:rsidRPr="00DD7B37">
        <w:rPr>
          <w:rFonts w:eastAsia="Calibri"/>
          <w:sz w:val="28"/>
          <w:szCs w:val="28"/>
          <w:lang w:eastAsia="en-US"/>
        </w:rPr>
        <w:t xml:space="preserve"> – общий объем муниципальных заимствований сельского поселения в соответствующем финансовом году;</w:t>
      </w:r>
    </w:p>
    <w:p w:rsidR="00184FE4" w:rsidRPr="00DD7B37" w:rsidRDefault="00184FE4" w:rsidP="00184FE4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DD7B37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DD7B37">
        <w:rPr>
          <w:rFonts w:eastAsia="Calibri"/>
          <w:sz w:val="28"/>
          <w:szCs w:val="28"/>
          <w:lang w:eastAsia="en-US"/>
        </w:rPr>
        <w:t>д</w:t>
      </w:r>
      <w:proofErr w:type="spellEnd"/>
      <w:r w:rsidRPr="00DD7B37">
        <w:rPr>
          <w:rFonts w:eastAsia="Calibri"/>
          <w:sz w:val="28"/>
          <w:szCs w:val="28"/>
          <w:lang w:eastAsia="en-US"/>
        </w:rPr>
        <w:t xml:space="preserve"> – объем средств, необходимый для финансирования дефицита бюджета сельского поселения в соответствующем финансовом году;</w:t>
      </w:r>
    </w:p>
    <w:p w:rsidR="00184FE4" w:rsidRPr="00DD7B37" w:rsidRDefault="00184FE4" w:rsidP="00184FE4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DD7B37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DD7B37">
        <w:rPr>
          <w:rFonts w:eastAsia="Calibri"/>
          <w:sz w:val="28"/>
          <w:szCs w:val="28"/>
          <w:lang w:eastAsia="en-US"/>
        </w:rPr>
        <w:t>ии</w:t>
      </w:r>
      <w:proofErr w:type="spellEnd"/>
      <w:r w:rsidRPr="00DD7B37">
        <w:rPr>
          <w:rFonts w:eastAsia="Calibri"/>
          <w:sz w:val="28"/>
          <w:szCs w:val="28"/>
          <w:lang w:eastAsia="en-US"/>
        </w:rPr>
        <w:t xml:space="preserve"> – объем иных не заемных источников финансирования дефицита бюджета сельского поселения;</w:t>
      </w:r>
    </w:p>
    <w:p w:rsidR="00184FE4" w:rsidRPr="00DD7B37" w:rsidRDefault="00184FE4" w:rsidP="00184FE4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 w:rsidRPr="00DD7B37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DD7B37">
        <w:rPr>
          <w:rFonts w:eastAsia="Calibri"/>
          <w:sz w:val="28"/>
          <w:szCs w:val="28"/>
          <w:lang w:eastAsia="en-US"/>
        </w:rPr>
        <w:t>пд</w:t>
      </w:r>
      <w:proofErr w:type="spellEnd"/>
      <w:r w:rsidRPr="00DD7B37">
        <w:rPr>
          <w:rFonts w:eastAsia="Calibri"/>
          <w:sz w:val="28"/>
          <w:szCs w:val="28"/>
          <w:lang w:eastAsia="en-US"/>
        </w:rPr>
        <w:t xml:space="preserve"> – объем средств, необходимый для погашения долговых обязательств сельского поселения в соответствующем финансовом году.</w:t>
      </w:r>
      <w:proofErr w:type="gramEnd"/>
    </w:p>
    <w:p w:rsidR="00184FE4" w:rsidRPr="00DD7B37" w:rsidRDefault="00184FE4" w:rsidP="00184FE4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DD7B37">
        <w:rPr>
          <w:rFonts w:eastAsia="Calibri"/>
          <w:sz w:val="28"/>
          <w:szCs w:val="28"/>
          <w:lang w:eastAsia="en-US"/>
        </w:rPr>
        <w:t xml:space="preserve">В зависимости от влияния внутренних и внешних факторов (конъюнктуры финансового рынка, планируемой структуры муниципального долга </w:t>
      </w:r>
      <w:r w:rsidRPr="00DD7B37">
        <w:rPr>
          <w:sz w:val="28"/>
          <w:szCs w:val="28"/>
        </w:rPr>
        <w:t>сельского поселения</w:t>
      </w:r>
      <w:r w:rsidRPr="00DD7B37">
        <w:rPr>
          <w:rFonts w:eastAsia="Calibri"/>
          <w:sz w:val="28"/>
          <w:szCs w:val="28"/>
          <w:lang w:eastAsia="en-US"/>
        </w:rPr>
        <w:t xml:space="preserve">, сроков привлечения и погашения заемных средств и др.) прогнозный объем поступлений от привлечения кредитов от других бюджетов бюджетной системы Российской </w:t>
      </w:r>
      <w:proofErr w:type="gramStart"/>
      <w:r w:rsidRPr="00DD7B37">
        <w:rPr>
          <w:rFonts w:eastAsia="Calibri"/>
          <w:sz w:val="28"/>
          <w:szCs w:val="28"/>
          <w:lang w:eastAsia="en-US"/>
        </w:rPr>
        <w:t>Федерации</w:t>
      </w:r>
      <w:proofErr w:type="gramEnd"/>
      <w:r w:rsidRPr="00DD7B37">
        <w:rPr>
          <w:rFonts w:eastAsia="Calibri"/>
          <w:sz w:val="28"/>
          <w:szCs w:val="28"/>
          <w:lang w:eastAsia="en-US"/>
        </w:rPr>
        <w:t xml:space="preserve"> с учетом планируемых к заключению соглашений рассчитывается по формуле:</w:t>
      </w:r>
    </w:p>
    <w:p w:rsidR="00184FE4" w:rsidRPr="00DD7B37" w:rsidRDefault="00184FE4" w:rsidP="00184FE4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DD7B37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DD7B37">
        <w:rPr>
          <w:rFonts w:eastAsia="Calibri"/>
          <w:sz w:val="28"/>
          <w:szCs w:val="28"/>
          <w:lang w:eastAsia="en-US"/>
        </w:rPr>
        <w:t>збк</w:t>
      </w:r>
      <w:proofErr w:type="spellEnd"/>
      <w:r w:rsidRPr="00DD7B37">
        <w:rPr>
          <w:rFonts w:eastAsia="Calibri"/>
          <w:sz w:val="28"/>
          <w:szCs w:val="28"/>
          <w:lang w:eastAsia="en-US"/>
        </w:rPr>
        <w:t xml:space="preserve"> = </w:t>
      </w:r>
      <w:r w:rsidRPr="00DD7B37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DD7B37">
        <w:rPr>
          <w:rFonts w:eastAsia="Calibri"/>
          <w:sz w:val="28"/>
          <w:szCs w:val="28"/>
          <w:lang w:eastAsia="en-US"/>
        </w:rPr>
        <w:t>з</w:t>
      </w:r>
      <w:proofErr w:type="spellEnd"/>
      <w:r w:rsidRPr="00DD7B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D7B37">
        <w:rPr>
          <w:rFonts w:eastAsia="Calibri"/>
          <w:sz w:val="28"/>
          <w:szCs w:val="28"/>
          <w:lang w:eastAsia="en-US"/>
        </w:rPr>
        <w:t>х</w:t>
      </w:r>
      <w:proofErr w:type="spellEnd"/>
      <w:r w:rsidRPr="00DD7B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D7B37">
        <w:rPr>
          <w:rFonts w:eastAsia="Calibri"/>
          <w:sz w:val="28"/>
          <w:szCs w:val="28"/>
          <w:lang w:eastAsia="en-US"/>
        </w:rPr>
        <w:t>Кбк</w:t>
      </w:r>
      <w:proofErr w:type="spellEnd"/>
      <w:r w:rsidRPr="00DD7B37">
        <w:rPr>
          <w:rFonts w:eastAsia="Calibri"/>
          <w:sz w:val="28"/>
          <w:szCs w:val="28"/>
          <w:lang w:eastAsia="en-US"/>
        </w:rPr>
        <w:t>, где:</w:t>
      </w:r>
    </w:p>
    <w:p w:rsidR="00184FE4" w:rsidRPr="00DD7B37" w:rsidRDefault="00184FE4" w:rsidP="00184FE4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DD7B37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DD7B37">
        <w:rPr>
          <w:rFonts w:eastAsia="Calibri"/>
          <w:sz w:val="28"/>
          <w:szCs w:val="28"/>
          <w:lang w:eastAsia="en-US"/>
        </w:rPr>
        <w:t>збк</w:t>
      </w:r>
      <w:proofErr w:type="spellEnd"/>
      <w:r w:rsidRPr="00DD7B37">
        <w:rPr>
          <w:rFonts w:eastAsia="Calibri"/>
          <w:sz w:val="28"/>
          <w:szCs w:val="28"/>
          <w:lang w:eastAsia="en-US"/>
        </w:rPr>
        <w:t xml:space="preserve"> – объем муниципальных заимствований </w:t>
      </w:r>
      <w:r w:rsidRPr="00DD7B37">
        <w:rPr>
          <w:sz w:val="28"/>
          <w:szCs w:val="28"/>
        </w:rPr>
        <w:t>сельского поселения</w:t>
      </w:r>
      <w:r w:rsidRPr="00DD7B37">
        <w:rPr>
          <w:rFonts w:eastAsia="Calibri"/>
          <w:sz w:val="28"/>
          <w:szCs w:val="28"/>
          <w:lang w:eastAsia="en-US"/>
        </w:rPr>
        <w:t xml:space="preserve"> в виде кредитов от других бюджетов бюджетной системы Российской Федерации в соответствующем финансовом году;</w:t>
      </w:r>
    </w:p>
    <w:p w:rsidR="00184FE4" w:rsidRPr="00DD7B37" w:rsidRDefault="00184FE4" w:rsidP="00184FE4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DD7B37">
        <w:rPr>
          <w:rFonts w:eastAsia="Calibri"/>
          <w:sz w:val="28"/>
          <w:szCs w:val="28"/>
          <w:lang w:val="en-US" w:eastAsia="en-US"/>
        </w:rPr>
        <w:t>V</w:t>
      </w:r>
      <w:proofErr w:type="spellStart"/>
      <w:r w:rsidRPr="00DD7B37">
        <w:rPr>
          <w:rFonts w:eastAsia="Calibri"/>
          <w:sz w:val="28"/>
          <w:szCs w:val="28"/>
          <w:lang w:eastAsia="en-US"/>
        </w:rPr>
        <w:t>з</w:t>
      </w:r>
      <w:proofErr w:type="spellEnd"/>
      <w:r w:rsidRPr="00DD7B37">
        <w:rPr>
          <w:rFonts w:eastAsia="Calibri"/>
          <w:sz w:val="28"/>
          <w:szCs w:val="28"/>
          <w:lang w:eastAsia="en-US"/>
        </w:rPr>
        <w:t xml:space="preserve"> – общий объем муниципальных заимствований </w:t>
      </w:r>
      <w:r w:rsidRPr="00DD7B37">
        <w:rPr>
          <w:sz w:val="28"/>
          <w:szCs w:val="28"/>
        </w:rPr>
        <w:t>сельского поселения</w:t>
      </w:r>
      <w:r w:rsidRPr="00DD7B37">
        <w:rPr>
          <w:rFonts w:eastAsia="Calibri"/>
          <w:sz w:val="28"/>
          <w:szCs w:val="28"/>
          <w:lang w:eastAsia="en-US"/>
        </w:rPr>
        <w:t xml:space="preserve"> в соответствующем финансовом году;</w:t>
      </w:r>
    </w:p>
    <w:p w:rsidR="00184FE4" w:rsidRPr="00CD11C2" w:rsidRDefault="00184FE4" w:rsidP="00184FE4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spellStart"/>
      <w:r w:rsidRPr="00DD7B37">
        <w:rPr>
          <w:rFonts w:eastAsia="Calibri"/>
          <w:sz w:val="28"/>
          <w:szCs w:val="28"/>
          <w:lang w:eastAsia="en-US"/>
        </w:rPr>
        <w:t>Кбк</w:t>
      </w:r>
      <w:proofErr w:type="spellEnd"/>
      <w:r w:rsidRPr="00DD7B37">
        <w:rPr>
          <w:rFonts w:eastAsia="Calibri"/>
          <w:sz w:val="28"/>
          <w:szCs w:val="28"/>
          <w:lang w:eastAsia="en-US"/>
        </w:rPr>
        <w:t xml:space="preserve"> – коэффициент финансирования дефицита бюджета </w:t>
      </w:r>
      <w:r w:rsidRPr="00DD7B37">
        <w:rPr>
          <w:sz w:val="28"/>
          <w:szCs w:val="28"/>
        </w:rPr>
        <w:t>сельского поселения</w:t>
      </w:r>
      <w:r w:rsidRPr="00DD7B37">
        <w:rPr>
          <w:rFonts w:eastAsia="Calibri"/>
          <w:sz w:val="28"/>
          <w:szCs w:val="28"/>
          <w:lang w:eastAsia="en-US"/>
        </w:rPr>
        <w:t xml:space="preserve"> и (или) погашения долга за счет привлечения кредитов от других бюджетов бюджетной системы Российской Федерации в соответствующем финансовом году определяется на основании решения Совета муниципального района</w:t>
      </w:r>
      <w:r w:rsidRPr="00DD7B37">
        <w:rPr>
          <w:sz w:val="28"/>
          <w:szCs w:val="28"/>
        </w:rPr>
        <w:t xml:space="preserve"> </w:t>
      </w:r>
      <w:proofErr w:type="spellStart"/>
      <w:r w:rsidRPr="00DD7B37">
        <w:rPr>
          <w:sz w:val="28"/>
          <w:szCs w:val="28"/>
        </w:rPr>
        <w:t>Альшеевский</w:t>
      </w:r>
      <w:proofErr w:type="spellEnd"/>
      <w:r w:rsidRPr="00DD7B37">
        <w:rPr>
          <w:sz w:val="28"/>
          <w:szCs w:val="28"/>
        </w:rPr>
        <w:t xml:space="preserve"> район </w:t>
      </w:r>
      <w:r w:rsidRPr="00DD7B37"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CE2"/>
    <w:rsid w:val="0001210C"/>
    <w:rsid w:val="00045050"/>
    <w:rsid w:val="00184FE4"/>
    <w:rsid w:val="00246964"/>
    <w:rsid w:val="00274067"/>
    <w:rsid w:val="003743DB"/>
    <w:rsid w:val="006F4DDA"/>
    <w:rsid w:val="007E6DB4"/>
    <w:rsid w:val="00821743"/>
    <w:rsid w:val="00BC4CE2"/>
    <w:rsid w:val="00C36589"/>
    <w:rsid w:val="00CB037A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4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C4CE2"/>
    <w:rPr>
      <w:rFonts w:ascii="Times New Roman" w:hAnsi="Times New Roman" w:cs="Times New Roman" w:hint="default"/>
      <w:b/>
      <w:bCs/>
    </w:rPr>
  </w:style>
  <w:style w:type="character" w:styleId="a6">
    <w:name w:val="Hyperlink"/>
    <w:basedOn w:val="a0"/>
    <w:rsid w:val="00BC4CE2"/>
    <w:rPr>
      <w:color w:val="0000FF"/>
      <w:u w:val="single"/>
    </w:rPr>
  </w:style>
  <w:style w:type="paragraph" w:styleId="a7">
    <w:name w:val="Title"/>
    <w:basedOn w:val="a"/>
    <w:link w:val="a8"/>
    <w:qFormat/>
    <w:rsid w:val="00BC4CE2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BC4C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rsid w:val="00BC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4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4FE4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ndyan.xzp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dyanovo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endyan.xzp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2017-05-30T06:16:00Z</cp:lastPrinted>
  <dcterms:created xsi:type="dcterms:W3CDTF">2017-05-22T06:36:00Z</dcterms:created>
  <dcterms:modified xsi:type="dcterms:W3CDTF">2017-05-30T06:16:00Z</dcterms:modified>
</cp:coreProperties>
</file>